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0BDC" w:rsidRDefault="008F0BDC" w:rsidP="008F0BDC">
      <w:pPr>
        <w:spacing w:line="240" w:lineRule="atLeast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ВІННИЦЬКИЙ НАЦІОНАЛЬНИЙ МЕДИЧНИЙ </w:t>
      </w:r>
      <w:r>
        <w:rPr>
          <w:rFonts w:ascii="Times New Roman" w:hAnsi="Times New Roman"/>
          <w:b/>
          <w:sz w:val="24"/>
          <w:lang w:val="uk-UA"/>
        </w:rPr>
        <w:t>УНІВЕРСИТЕТ</w:t>
      </w:r>
    </w:p>
    <w:p w:rsidR="008F0BDC" w:rsidRPr="00B87D82" w:rsidRDefault="00C848D1" w:rsidP="008F0BDC">
      <w:pPr>
        <w:spacing w:line="240" w:lineRule="atLeast"/>
        <w:contextualSpacing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  <w:lang w:val="uk-UA"/>
        </w:rPr>
        <w:t>і</w:t>
      </w:r>
      <w:bookmarkStart w:id="0" w:name="_GoBack"/>
      <w:bookmarkEnd w:id="0"/>
      <w:r>
        <w:rPr>
          <w:rFonts w:ascii="Times New Roman" w:hAnsi="Times New Roman"/>
          <w:b/>
          <w:sz w:val="24"/>
          <w:lang w:val="uk-UA"/>
        </w:rPr>
        <w:t>м.</w:t>
      </w:r>
      <w:r w:rsidR="008F0BDC">
        <w:rPr>
          <w:rFonts w:ascii="Times New Roman" w:hAnsi="Times New Roman"/>
          <w:b/>
          <w:sz w:val="24"/>
        </w:rPr>
        <w:t xml:space="preserve"> М.І. ПИРОГОВА</w:t>
      </w:r>
    </w:p>
    <w:p w:rsidR="008F0BDC" w:rsidRDefault="008F0BDC" w:rsidP="008F0BDC">
      <w:pPr>
        <w:spacing w:line="240" w:lineRule="atLeast"/>
        <w:contextualSpacing/>
        <w:jc w:val="left"/>
        <w:rPr>
          <w:rFonts w:ascii="Times New Roman" w:hAnsi="Times New Roman"/>
          <w:b/>
          <w:sz w:val="24"/>
        </w:rPr>
      </w:pPr>
    </w:p>
    <w:p w:rsidR="008F0BDC" w:rsidRDefault="008F0BDC" w:rsidP="008F0BDC">
      <w:pPr>
        <w:spacing w:line="240" w:lineRule="atLeast"/>
        <w:contextualSpacing/>
        <w:jc w:val="left"/>
        <w:rPr>
          <w:rFonts w:ascii="Times New Roman" w:hAnsi="Times New Roman"/>
          <w:b/>
          <w:sz w:val="24"/>
        </w:rPr>
      </w:pPr>
    </w:p>
    <w:p w:rsidR="008F0BDC" w:rsidRPr="00DD6960" w:rsidRDefault="008F0BDC" w:rsidP="008F0BDC">
      <w:pPr>
        <w:spacing w:line="240" w:lineRule="atLeast"/>
        <w:contextualSpacing/>
        <w:jc w:val="left"/>
        <w:rPr>
          <w:rFonts w:ascii="Times New Roman" w:hAnsi="Times New Roman"/>
          <w:b/>
          <w:sz w:val="24"/>
          <w:lang w:val="uk-UA"/>
        </w:rPr>
      </w:pPr>
    </w:p>
    <w:p w:rsidR="008F0BDC" w:rsidRDefault="008F0BDC" w:rsidP="008F0BDC">
      <w:pPr>
        <w:spacing w:line="240" w:lineRule="atLeast"/>
        <w:contextualSpacing/>
        <w:jc w:val="left"/>
        <w:rPr>
          <w:rFonts w:ascii="Times New Roman" w:hAnsi="Times New Roman"/>
          <w:b/>
          <w:sz w:val="24"/>
          <w:lang w:val="uk-UA"/>
        </w:rPr>
      </w:pPr>
    </w:p>
    <w:p w:rsidR="008F0BDC" w:rsidRDefault="008F0BDC" w:rsidP="008F0BDC">
      <w:pPr>
        <w:spacing w:line="240" w:lineRule="atLeast"/>
        <w:contextualSpacing/>
        <w:rPr>
          <w:rFonts w:ascii="Times New Roman" w:hAnsi="Times New Roman"/>
          <w:b/>
          <w:sz w:val="24"/>
          <w:lang w:val="uk-UA"/>
        </w:rPr>
      </w:pPr>
    </w:p>
    <w:p w:rsidR="008F0BDC" w:rsidRDefault="008F0BDC" w:rsidP="008F0BDC">
      <w:pPr>
        <w:spacing w:line="240" w:lineRule="atLeast"/>
        <w:contextualSpacing/>
        <w:rPr>
          <w:rFonts w:ascii="Times New Roman" w:hAnsi="Times New Roman"/>
          <w:b/>
          <w:sz w:val="24"/>
          <w:lang w:val="uk-UA"/>
        </w:rPr>
      </w:pPr>
    </w:p>
    <w:p w:rsidR="008F0BDC" w:rsidRDefault="008F0BDC" w:rsidP="008F0BDC">
      <w:pPr>
        <w:spacing w:line="240" w:lineRule="atLeast"/>
        <w:contextualSpacing/>
        <w:rPr>
          <w:rFonts w:ascii="Times New Roman" w:hAnsi="Times New Roman"/>
          <w:b/>
          <w:sz w:val="24"/>
          <w:lang w:val="uk-UA"/>
        </w:rPr>
      </w:pPr>
    </w:p>
    <w:p w:rsidR="008F0BDC" w:rsidRDefault="008F0BDC" w:rsidP="008F0BDC">
      <w:pPr>
        <w:spacing w:line="240" w:lineRule="atLeast"/>
        <w:contextualSpacing/>
        <w:rPr>
          <w:rFonts w:ascii="Times New Roman" w:hAnsi="Times New Roman"/>
          <w:b/>
          <w:sz w:val="24"/>
          <w:lang w:val="uk-UA"/>
        </w:rPr>
      </w:pPr>
    </w:p>
    <w:p w:rsidR="008F0BDC" w:rsidRDefault="008F0BDC" w:rsidP="008F0BDC">
      <w:pPr>
        <w:spacing w:line="240" w:lineRule="atLeast"/>
        <w:contextualSpacing/>
        <w:rPr>
          <w:rFonts w:ascii="Times New Roman" w:hAnsi="Times New Roman"/>
          <w:b/>
          <w:sz w:val="24"/>
          <w:lang w:val="uk-UA"/>
        </w:rPr>
      </w:pPr>
    </w:p>
    <w:p w:rsidR="008F0BDC" w:rsidRDefault="008F0BDC" w:rsidP="008F0BDC">
      <w:pPr>
        <w:spacing w:line="240" w:lineRule="atLeast"/>
        <w:contextualSpacing/>
        <w:rPr>
          <w:rFonts w:ascii="Times New Roman" w:hAnsi="Times New Roman"/>
          <w:b/>
          <w:sz w:val="24"/>
          <w:lang w:val="uk-UA"/>
        </w:rPr>
      </w:pPr>
    </w:p>
    <w:p w:rsidR="008F0BDC" w:rsidRDefault="008F0BDC" w:rsidP="008F0BDC">
      <w:pPr>
        <w:spacing w:line="240" w:lineRule="atLeast"/>
        <w:contextualSpacing/>
        <w:jc w:val="left"/>
        <w:rPr>
          <w:rFonts w:ascii="Times New Roman" w:hAnsi="Times New Roman"/>
          <w:b/>
          <w:sz w:val="24"/>
          <w:lang w:val="uk-UA"/>
        </w:rPr>
      </w:pPr>
    </w:p>
    <w:p w:rsidR="008F0BDC" w:rsidRPr="00DD6960" w:rsidRDefault="008F0BDC" w:rsidP="008F0BDC">
      <w:pPr>
        <w:spacing w:line="240" w:lineRule="atLeast"/>
        <w:contextualSpacing/>
        <w:jc w:val="left"/>
        <w:rPr>
          <w:rFonts w:ascii="Times New Roman" w:hAnsi="Times New Roman"/>
          <w:b/>
          <w:sz w:val="24"/>
          <w:lang w:val="uk-UA"/>
        </w:rPr>
      </w:pPr>
    </w:p>
    <w:p w:rsidR="008F0BDC" w:rsidRPr="00D52F76" w:rsidRDefault="008F0BDC" w:rsidP="008F0BDC">
      <w:pPr>
        <w:spacing w:line="240" w:lineRule="atLeast"/>
        <w:contextualSpacing/>
        <w:jc w:val="center"/>
        <w:rPr>
          <w:rFonts w:ascii="Times New Roman" w:hAnsi="Times New Roman"/>
          <w:b/>
          <w:sz w:val="40"/>
          <w:szCs w:val="40"/>
          <w:lang w:val="uk-UA"/>
        </w:rPr>
      </w:pPr>
      <w:r w:rsidRPr="00D52F76">
        <w:rPr>
          <w:rFonts w:ascii="Times New Roman" w:hAnsi="Times New Roman"/>
          <w:b/>
          <w:sz w:val="40"/>
          <w:szCs w:val="40"/>
          <w:lang w:val="uk-UA"/>
        </w:rPr>
        <w:t>ІНТЕРНАТУРА</w:t>
      </w:r>
    </w:p>
    <w:p w:rsidR="008F0BDC" w:rsidRPr="00B87D82" w:rsidRDefault="008F0BDC" w:rsidP="008F0BDC">
      <w:pPr>
        <w:spacing w:line="240" w:lineRule="atLeast"/>
        <w:contextualSpacing/>
        <w:jc w:val="center"/>
        <w:rPr>
          <w:rFonts w:ascii="Times New Roman" w:hAnsi="Times New Roman"/>
          <w:b/>
          <w:sz w:val="24"/>
          <w:lang w:val="uk-UA"/>
        </w:rPr>
      </w:pPr>
      <w:r>
        <w:rPr>
          <w:rFonts w:ascii="Times New Roman" w:hAnsi="Times New Roman"/>
          <w:b/>
          <w:sz w:val="24"/>
          <w:lang w:val="uk-UA"/>
        </w:rPr>
        <w:t>˝ДИТЯЧА ХІРУРГІЯ˝</w:t>
      </w:r>
    </w:p>
    <w:p w:rsidR="008F0BDC" w:rsidRPr="00D52F76" w:rsidRDefault="008F0BDC" w:rsidP="008F0BDC">
      <w:pPr>
        <w:spacing w:line="240" w:lineRule="atLeast"/>
        <w:contextualSpacing/>
        <w:jc w:val="left"/>
        <w:rPr>
          <w:rFonts w:ascii="Times New Roman" w:hAnsi="Times New Roman"/>
          <w:b/>
          <w:sz w:val="24"/>
          <w:lang w:val="uk-UA"/>
        </w:rPr>
      </w:pPr>
    </w:p>
    <w:p w:rsidR="008F0BDC" w:rsidRPr="00D52F76" w:rsidRDefault="008F0BDC" w:rsidP="008F0BDC">
      <w:pPr>
        <w:spacing w:line="240" w:lineRule="atLeast"/>
        <w:contextualSpacing/>
        <w:jc w:val="left"/>
        <w:rPr>
          <w:rFonts w:ascii="Times New Roman" w:hAnsi="Times New Roman"/>
          <w:b/>
          <w:sz w:val="24"/>
          <w:lang w:val="uk-UA"/>
        </w:rPr>
      </w:pPr>
    </w:p>
    <w:p w:rsidR="008F0BDC" w:rsidRPr="00D52F76" w:rsidRDefault="008F0BDC" w:rsidP="008F0BDC">
      <w:pPr>
        <w:spacing w:line="240" w:lineRule="atLeast"/>
        <w:contextualSpacing/>
        <w:jc w:val="left"/>
        <w:rPr>
          <w:rFonts w:ascii="Times New Roman" w:hAnsi="Times New Roman"/>
          <w:b/>
          <w:sz w:val="24"/>
          <w:lang w:val="uk-UA"/>
        </w:rPr>
      </w:pPr>
    </w:p>
    <w:p w:rsidR="008F0BDC" w:rsidRPr="00D52F76" w:rsidRDefault="008F0BDC" w:rsidP="008F0BDC">
      <w:pPr>
        <w:spacing w:line="240" w:lineRule="atLeast"/>
        <w:contextualSpacing/>
        <w:jc w:val="left"/>
        <w:rPr>
          <w:rFonts w:ascii="Times New Roman" w:hAnsi="Times New Roman"/>
          <w:b/>
          <w:sz w:val="24"/>
          <w:lang w:val="uk-UA"/>
        </w:rPr>
      </w:pPr>
    </w:p>
    <w:p w:rsidR="008F0BDC" w:rsidRPr="00D52F76" w:rsidRDefault="008F0BDC" w:rsidP="008F0BDC">
      <w:pPr>
        <w:spacing w:line="240" w:lineRule="atLeast"/>
        <w:contextualSpacing/>
        <w:jc w:val="left"/>
        <w:rPr>
          <w:rFonts w:ascii="Times New Roman" w:hAnsi="Times New Roman"/>
          <w:b/>
          <w:sz w:val="24"/>
          <w:lang w:val="uk-UA"/>
        </w:rPr>
      </w:pPr>
    </w:p>
    <w:p w:rsidR="008F0BDC" w:rsidRDefault="008F0BDC" w:rsidP="008F0BDC">
      <w:pPr>
        <w:spacing w:line="240" w:lineRule="atLeast"/>
        <w:contextualSpacing/>
        <w:jc w:val="left"/>
        <w:rPr>
          <w:rFonts w:ascii="Times New Roman" w:hAnsi="Times New Roman"/>
          <w:b/>
          <w:sz w:val="24"/>
          <w:lang w:val="uk-UA"/>
        </w:rPr>
      </w:pPr>
    </w:p>
    <w:p w:rsidR="008F0BDC" w:rsidRDefault="008F0BDC" w:rsidP="008F0BDC">
      <w:pPr>
        <w:spacing w:line="240" w:lineRule="atLeast"/>
        <w:contextualSpacing/>
        <w:jc w:val="left"/>
        <w:rPr>
          <w:rFonts w:ascii="Times New Roman" w:hAnsi="Times New Roman"/>
          <w:b/>
          <w:sz w:val="24"/>
          <w:lang w:val="uk-UA"/>
        </w:rPr>
      </w:pPr>
    </w:p>
    <w:p w:rsidR="008F0BDC" w:rsidRDefault="008F0BDC" w:rsidP="008F0BDC">
      <w:pPr>
        <w:spacing w:line="240" w:lineRule="atLeast"/>
        <w:contextualSpacing/>
        <w:jc w:val="left"/>
        <w:rPr>
          <w:rFonts w:ascii="Times New Roman" w:hAnsi="Times New Roman"/>
          <w:b/>
          <w:sz w:val="24"/>
          <w:lang w:val="uk-UA"/>
        </w:rPr>
      </w:pPr>
    </w:p>
    <w:p w:rsidR="008F0BDC" w:rsidRDefault="008F0BDC" w:rsidP="008F0BDC">
      <w:pPr>
        <w:spacing w:line="240" w:lineRule="atLeast"/>
        <w:contextualSpacing/>
        <w:jc w:val="left"/>
        <w:rPr>
          <w:rFonts w:ascii="Times New Roman" w:hAnsi="Times New Roman"/>
          <w:b/>
          <w:sz w:val="24"/>
          <w:lang w:val="uk-UA"/>
        </w:rPr>
      </w:pPr>
    </w:p>
    <w:p w:rsidR="008F0BDC" w:rsidRDefault="008F0BDC" w:rsidP="008F0BDC">
      <w:pPr>
        <w:spacing w:line="240" w:lineRule="atLeast"/>
        <w:contextualSpacing/>
        <w:jc w:val="left"/>
        <w:rPr>
          <w:rFonts w:ascii="Times New Roman" w:hAnsi="Times New Roman"/>
          <w:b/>
          <w:sz w:val="24"/>
          <w:lang w:val="uk-UA"/>
        </w:rPr>
      </w:pPr>
    </w:p>
    <w:p w:rsidR="008F0BDC" w:rsidRDefault="008F0BDC" w:rsidP="008F0BDC">
      <w:pPr>
        <w:spacing w:line="240" w:lineRule="atLeast"/>
        <w:contextualSpacing/>
        <w:jc w:val="left"/>
        <w:rPr>
          <w:rFonts w:ascii="Times New Roman" w:hAnsi="Times New Roman"/>
          <w:b/>
          <w:sz w:val="24"/>
          <w:lang w:val="uk-UA"/>
        </w:rPr>
      </w:pPr>
    </w:p>
    <w:p w:rsidR="008F0BDC" w:rsidRDefault="008F0BDC" w:rsidP="008F0BDC">
      <w:pPr>
        <w:spacing w:line="240" w:lineRule="atLeast"/>
        <w:contextualSpacing/>
        <w:jc w:val="left"/>
        <w:rPr>
          <w:rFonts w:ascii="Times New Roman" w:hAnsi="Times New Roman"/>
          <w:b/>
          <w:sz w:val="24"/>
          <w:lang w:val="uk-UA"/>
        </w:rPr>
      </w:pPr>
    </w:p>
    <w:p w:rsidR="008F0BDC" w:rsidRDefault="008F0BDC" w:rsidP="008F0BDC">
      <w:pPr>
        <w:spacing w:line="240" w:lineRule="atLeast"/>
        <w:contextualSpacing/>
        <w:jc w:val="left"/>
        <w:rPr>
          <w:rFonts w:ascii="Times New Roman" w:hAnsi="Times New Roman"/>
          <w:b/>
          <w:sz w:val="24"/>
          <w:lang w:val="uk-UA"/>
        </w:rPr>
      </w:pPr>
    </w:p>
    <w:p w:rsidR="008F0BDC" w:rsidRDefault="008F0BDC" w:rsidP="008F0BDC">
      <w:pPr>
        <w:spacing w:line="240" w:lineRule="atLeast"/>
        <w:contextualSpacing/>
        <w:jc w:val="left"/>
        <w:rPr>
          <w:rFonts w:ascii="Times New Roman" w:hAnsi="Times New Roman"/>
          <w:b/>
          <w:sz w:val="24"/>
          <w:lang w:val="uk-UA"/>
        </w:rPr>
      </w:pPr>
    </w:p>
    <w:p w:rsidR="008F0BDC" w:rsidRPr="00DD6960" w:rsidRDefault="008F0BDC" w:rsidP="008F0BDC">
      <w:pPr>
        <w:spacing w:line="240" w:lineRule="atLeast"/>
        <w:contextualSpacing/>
        <w:jc w:val="left"/>
        <w:rPr>
          <w:rFonts w:ascii="Times New Roman" w:hAnsi="Times New Roman"/>
          <w:b/>
          <w:sz w:val="24"/>
          <w:lang w:val="uk-UA"/>
        </w:rPr>
      </w:pPr>
    </w:p>
    <w:p w:rsidR="008F0BDC" w:rsidRPr="00D52F76" w:rsidRDefault="008F0BDC" w:rsidP="008F0BDC">
      <w:pPr>
        <w:spacing w:line="240" w:lineRule="atLeast"/>
        <w:contextualSpacing/>
        <w:jc w:val="left"/>
        <w:rPr>
          <w:rFonts w:ascii="Times New Roman" w:hAnsi="Times New Roman"/>
          <w:b/>
          <w:sz w:val="24"/>
          <w:lang w:val="uk-UA"/>
        </w:rPr>
      </w:pPr>
    </w:p>
    <w:p w:rsidR="008F0BDC" w:rsidRPr="008F0BDC" w:rsidRDefault="008F0BDC" w:rsidP="008F0BDC">
      <w:pPr>
        <w:spacing w:line="240" w:lineRule="atLeast"/>
        <w:contextualSpacing/>
        <w:jc w:val="center"/>
        <w:rPr>
          <w:rFonts w:ascii="Times New Roman" w:hAnsi="Times New Roman"/>
          <w:b/>
          <w:sz w:val="40"/>
          <w:szCs w:val="40"/>
          <w:lang w:val="uk-UA"/>
        </w:rPr>
      </w:pPr>
      <w:r w:rsidRPr="00D52F76">
        <w:rPr>
          <w:rFonts w:ascii="Times New Roman" w:hAnsi="Times New Roman"/>
          <w:b/>
          <w:sz w:val="56"/>
          <w:szCs w:val="56"/>
          <w:lang w:val="uk-UA"/>
        </w:rPr>
        <w:t>Лекція</w:t>
      </w:r>
      <w:r>
        <w:rPr>
          <w:rFonts w:ascii="Times New Roman" w:hAnsi="Times New Roman"/>
          <w:b/>
          <w:sz w:val="52"/>
          <w:szCs w:val="52"/>
          <w:lang w:val="uk-UA"/>
        </w:rPr>
        <w:t xml:space="preserve">: </w:t>
      </w:r>
      <w:r w:rsidRPr="008F0BDC">
        <w:rPr>
          <w:rFonts w:ascii="Times New Roman" w:hAnsi="Times New Roman"/>
          <w:b/>
          <w:sz w:val="40"/>
          <w:szCs w:val="40"/>
          <w:lang w:val="uk-UA"/>
        </w:rPr>
        <w:t>Патологія підшлункової залози (вади розвитку, кісти, гострий та хронічний панкреатит).</w:t>
      </w:r>
    </w:p>
    <w:p w:rsidR="008F0BDC" w:rsidRPr="00D52F76" w:rsidRDefault="008F0BDC" w:rsidP="008F0BDC">
      <w:pPr>
        <w:spacing w:line="240" w:lineRule="atLeast"/>
        <w:contextualSpacing/>
        <w:jc w:val="left"/>
        <w:rPr>
          <w:rFonts w:ascii="Times New Roman" w:hAnsi="Times New Roman"/>
          <w:b/>
          <w:sz w:val="24"/>
          <w:lang w:val="uk-UA"/>
        </w:rPr>
      </w:pPr>
    </w:p>
    <w:p w:rsidR="008F0BDC" w:rsidRPr="00D52F76" w:rsidRDefault="008F0BDC" w:rsidP="008F0BDC">
      <w:pPr>
        <w:spacing w:line="240" w:lineRule="atLeast"/>
        <w:contextualSpacing/>
        <w:jc w:val="left"/>
        <w:rPr>
          <w:rFonts w:ascii="Times New Roman" w:hAnsi="Times New Roman"/>
          <w:b/>
          <w:sz w:val="24"/>
          <w:lang w:val="uk-UA"/>
        </w:rPr>
      </w:pPr>
    </w:p>
    <w:p w:rsidR="008F0BDC" w:rsidRPr="00D52F76" w:rsidRDefault="008F0BDC" w:rsidP="008F0BDC">
      <w:pPr>
        <w:spacing w:line="240" w:lineRule="atLeast"/>
        <w:contextualSpacing/>
        <w:jc w:val="left"/>
        <w:rPr>
          <w:rFonts w:ascii="Times New Roman" w:hAnsi="Times New Roman"/>
          <w:b/>
          <w:sz w:val="24"/>
          <w:lang w:val="uk-UA"/>
        </w:rPr>
      </w:pPr>
    </w:p>
    <w:p w:rsidR="008F0BDC" w:rsidRPr="008F0BDC" w:rsidRDefault="008F0BDC" w:rsidP="008F0BDC">
      <w:pPr>
        <w:tabs>
          <w:tab w:val="left" w:pos="3765"/>
        </w:tabs>
        <w:rPr>
          <w:lang w:val="uk-UA"/>
        </w:rPr>
      </w:pPr>
    </w:p>
    <w:p w:rsidR="00D86F95" w:rsidRPr="00F41A90" w:rsidRDefault="00D86F95" w:rsidP="00F41A90">
      <w:pPr>
        <w:pStyle w:val="1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41A90">
        <w:rPr>
          <w:rFonts w:ascii="Times New Roman" w:hAnsi="Times New Roman" w:cs="Times New Roman"/>
          <w:sz w:val="28"/>
          <w:szCs w:val="28"/>
          <w:lang w:val="uk-UA"/>
        </w:rPr>
        <w:lastRenderedPageBreak/>
        <w:t>ПАТОЛОГІЯ ПІДШЛУНКОВОЇ ЗАЛОЗИ</w:t>
      </w:r>
    </w:p>
    <w:p w:rsidR="00D86F95" w:rsidRPr="00F41A90" w:rsidRDefault="00D86F95" w:rsidP="00D86F95">
      <w:pPr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b/>
          <w:bCs/>
          <w:i/>
          <w:iCs/>
          <w:sz w:val="28"/>
          <w:szCs w:val="28"/>
          <w:u w:val="single"/>
          <w:lang w:val="uk-UA"/>
        </w:rPr>
        <w:t>Гострий панкреатит</w:t>
      </w:r>
      <w:r w:rsidRPr="00F41A90">
        <w:rPr>
          <w:rFonts w:ascii="Times New Roman" w:hAnsi="Times New Roman"/>
          <w:sz w:val="28"/>
          <w:szCs w:val="28"/>
          <w:lang w:val="uk-UA"/>
        </w:rPr>
        <w:t xml:space="preserve"> – запально-некротичне захворювання підшлункової залози, яке розвивається в результаті ферментативного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аутолізу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чи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самопереварювання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D86F95" w:rsidRPr="00F41A90" w:rsidRDefault="00D86F95" w:rsidP="00D86F95">
      <w:pPr>
        <w:pStyle w:val="2"/>
        <w:rPr>
          <w:rFonts w:ascii="Times New Roman" w:hAnsi="Times New Roman" w:cs="Times New Roman"/>
          <w:b w:val="0"/>
          <w:bCs w:val="0"/>
          <w:i w:val="0"/>
          <w:iCs w:val="0"/>
          <w:sz w:val="28"/>
          <w:u w:val="none"/>
        </w:rPr>
      </w:pPr>
      <w:r w:rsidRPr="00F41A90">
        <w:rPr>
          <w:rFonts w:ascii="Times New Roman" w:hAnsi="Times New Roman" w:cs="Times New Roman"/>
          <w:sz w:val="28"/>
        </w:rPr>
        <w:t xml:space="preserve">Класифікація. </w:t>
      </w:r>
      <w:r w:rsidRPr="00F41A90">
        <w:rPr>
          <w:rFonts w:ascii="Times New Roman" w:hAnsi="Times New Roman" w:cs="Times New Roman"/>
          <w:b w:val="0"/>
          <w:bCs w:val="0"/>
          <w:i w:val="0"/>
          <w:iCs w:val="0"/>
          <w:sz w:val="28"/>
          <w:u w:val="none"/>
        </w:rPr>
        <w:t>V Всеросійський з'їзд хірургів 1978 року рекомендував користуватися наступними класифікаціями: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 xml:space="preserve">гострий набряк підшлункової залози; 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 xml:space="preserve">гострий жировий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панкреонекроз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>;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 xml:space="preserve">гострий геморагічний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панкреонекроз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>;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>гострий гнійний панкреатит.</w:t>
      </w:r>
    </w:p>
    <w:p w:rsidR="00D86F95" w:rsidRPr="00F41A90" w:rsidRDefault="00D86F95" w:rsidP="00D86F95">
      <w:pPr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>Клінічно розрізняють: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 xml:space="preserve">фазу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ензимної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токсемії;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>фазу тимчасової ремісії;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>фазу секвестрації і гнійних ускладнень.</w:t>
      </w:r>
    </w:p>
    <w:p w:rsidR="00D86F95" w:rsidRPr="00F41A90" w:rsidRDefault="00D86F95" w:rsidP="00D86F95">
      <w:pPr>
        <w:pStyle w:val="2"/>
        <w:rPr>
          <w:rFonts w:ascii="Times New Roman" w:hAnsi="Times New Roman" w:cs="Times New Roman"/>
          <w:sz w:val="28"/>
        </w:rPr>
      </w:pPr>
      <w:r w:rsidRPr="00F41A90">
        <w:rPr>
          <w:rFonts w:ascii="Times New Roman" w:hAnsi="Times New Roman" w:cs="Times New Roman"/>
          <w:sz w:val="28"/>
        </w:rPr>
        <w:t xml:space="preserve">Історія і соціальне значення. </w:t>
      </w:r>
    </w:p>
    <w:p w:rsidR="00D86F95" w:rsidRPr="00F41A90" w:rsidRDefault="00D86F95" w:rsidP="00D86F95">
      <w:pPr>
        <w:spacing w:before="0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 xml:space="preserve">1841 р. –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Тульн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описав абсцес підшлункової залози при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аутопсії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>.</w:t>
      </w:r>
    </w:p>
    <w:p w:rsidR="00D86F95" w:rsidRPr="00F41A90" w:rsidRDefault="00D86F95" w:rsidP="00D86F95">
      <w:pPr>
        <w:spacing w:before="0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 xml:space="preserve">1870 р. –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Клебе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визначив гострий панкреатит як окреме захворювання.</w:t>
      </w:r>
    </w:p>
    <w:p w:rsidR="00D86F95" w:rsidRPr="00F41A90" w:rsidRDefault="00D86F95" w:rsidP="00D86F95">
      <w:pPr>
        <w:spacing w:before="0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 xml:space="preserve">1889 р. –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Fitz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описав клініку гострого панкреатиту і підтвердив її на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аутопсії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. </w:t>
      </w:r>
    </w:p>
    <w:p w:rsidR="00D86F95" w:rsidRPr="00F41A90" w:rsidRDefault="00D86F95" w:rsidP="00D86F95">
      <w:pPr>
        <w:spacing w:before="0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 xml:space="preserve">1890 р. –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Helsted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виконав успішну операцію;</w:t>
      </w:r>
    </w:p>
    <w:p w:rsidR="00D86F95" w:rsidRPr="00F41A90" w:rsidRDefault="00D86F95" w:rsidP="00D86F95">
      <w:pPr>
        <w:spacing w:before="0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 xml:space="preserve">1897 р. – Мартинов написав першу монографію, присвячену гострому панкреатиту. </w:t>
      </w:r>
    </w:p>
    <w:p w:rsidR="00D86F95" w:rsidRPr="00F41A90" w:rsidRDefault="00D86F95" w:rsidP="00D86F95">
      <w:pPr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 xml:space="preserve">До 50-х років гострий панкреатит був рідкісним захворюванням. За даними В.М.Воскресенського (1951) вітчизняними вченими з 1892 по 1941 роки описано всього 200 хворих на гострий панкреатит. За останні 15-20 років спостерігається ріст захворювання на гострий панкреатит, причому найбільше зросла кількість деструктивних форм. Серед хірургічної патології гострий панкреатит складає 11,8 % від всіх хірургічних захворювань. Жінки страждають в чотири рази частіше, ніж чоловіки. Розподіл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панкреонекрозу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за статтю становить 1:1. Після 40 років чоловіки хворіють вдвічі частіше від жінок.</w:t>
      </w:r>
    </w:p>
    <w:p w:rsidR="00D86F95" w:rsidRPr="00F41A90" w:rsidRDefault="00D86F95" w:rsidP="00D86F95">
      <w:pPr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b/>
          <w:bCs/>
          <w:i/>
          <w:iCs/>
          <w:sz w:val="28"/>
          <w:szCs w:val="28"/>
          <w:u w:val="single"/>
          <w:lang w:val="uk-UA"/>
        </w:rPr>
        <w:t>Етіологія.</w:t>
      </w:r>
      <w:r w:rsidRPr="00F41A90">
        <w:rPr>
          <w:rFonts w:ascii="Times New Roman" w:hAnsi="Times New Roman"/>
          <w:sz w:val="28"/>
          <w:szCs w:val="28"/>
          <w:lang w:val="uk-UA"/>
        </w:rPr>
        <w:t xml:space="preserve"> Захворювання виникає внаслідок пошкодження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ацинозних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клітин підшлункової залози, гіперсекреції панкреатичного соку і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затруднення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його відтоку, внаслідок цього виникає гіпертензія в протоці підшлункової залози і активація ферментів. Причиною пошкодження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ацинозних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клітин є: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>закрита травма;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>оперативне втручання;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>розлади кровообігу в підшлунковій залозі;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>алергія;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>аліментарні порушення;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>захворювання жовчних шляхів.</w:t>
      </w:r>
    </w:p>
    <w:p w:rsidR="00D86F95" w:rsidRPr="00F41A90" w:rsidRDefault="00D86F95" w:rsidP="00D86F95">
      <w:pPr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 xml:space="preserve">В 1899 році була викладена гіпотеза про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закидування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жовчі в протік підшлункової залози (теорія загальної протоки).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Рефлюкс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жовчі в протоку підшлункової залози </w:t>
      </w:r>
      <w:r w:rsidRPr="00F41A90">
        <w:rPr>
          <w:rFonts w:ascii="Times New Roman" w:hAnsi="Times New Roman"/>
          <w:sz w:val="28"/>
          <w:szCs w:val="28"/>
          <w:lang w:val="uk-UA"/>
        </w:rPr>
        <w:lastRenderedPageBreak/>
        <w:t xml:space="preserve">часто виникає при блокаді устя великого  дуоденального соска – в цьому випадку ферменти активують жовч. При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дуоде</w:t>
      </w:r>
      <w:r w:rsidRPr="00F41A90">
        <w:rPr>
          <w:rFonts w:ascii="Times New Roman" w:hAnsi="Times New Roman"/>
          <w:sz w:val="28"/>
          <w:szCs w:val="28"/>
          <w:lang w:val="uk-UA"/>
        </w:rPr>
        <w:softHyphen/>
        <w:t>но</w:t>
      </w:r>
      <w:r w:rsidRPr="00F41A90">
        <w:rPr>
          <w:rFonts w:ascii="Times New Roman" w:hAnsi="Times New Roman"/>
          <w:sz w:val="28"/>
          <w:szCs w:val="28"/>
          <w:lang w:val="uk-UA"/>
        </w:rPr>
        <w:softHyphen/>
        <w:t>панк</w:t>
      </w:r>
      <w:r w:rsidRPr="00F41A90">
        <w:rPr>
          <w:rFonts w:ascii="Times New Roman" w:hAnsi="Times New Roman"/>
          <w:sz w:val="28"/>
          <w:szCs w:val="28"/>
          <w:lang w:val="uk-UA"/>
        </w:rPr>
        <w:softHyphen/>
        <w:t>реатичному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рефлюксі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активатором є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ентерокіназа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. Причиною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дуоденопанкреа</w:t>
      </w:r>
      <w:r w:rsidRPr="00F41A90">
        <w:rPr>
          <w:rFonts w:ascii="Times New Roman" w:hAnsi="Times New Roman"/>
          <w:sz w:val="28"/>
          <w:szCs w:val="28"/>
          <w:lang w:val="uk-UA"/>
        </w:rPr>
        <w:softHyphen/>
        <w:t>тич</w:t>
      </w:r>
      <w:r w:rsidRPr="00F41A90">
        <w:rPr>
          <w:rFonts w:ascii="Times New Roman" w:hAnsi="Times New Roman"/>
          <w:sz w:val="28"/>
          <w:szCs w:val="28"/>
          <w:lang w:val="uk-UA"/>
        </w:rPr>
        <w:softHyphen/>
        <w:t>ного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рефлюк</w:t>
      </w:r>
      <w:r w:rsidRPr="00F41A90">
        <w:rPr>
          <w:rFonts w:ascii="Times New Roman" w:hAnsi="Times New Roman"/>
          <w:sz w:val="28"/>
          <w:szCs w:val="28"/>
          <w:lang w:val="uk-UA"/>
        </w:rPr>
        <w:softHyphen/>
        <w:t>су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є зіяння великого дуоденального соска та підвищення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внутрішньодуоденального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тиску (при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дуоденостазі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). </w:t>
      </w:r>
    </w:p>
    <w:p w:rsidR="00D86F95" w:rsidRPr="00F41A90" w:rsidRDefault="00D86F95" w:rsidP="00D86F95">
      <w:pPr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>Існує ще аліментарна теорія, в основі якої лежить надмірне вживання жирів, вуглеводів, алко</w:t>
      </w:r>
      <w:r w:rsidRPr="00F41A90">
        <w:rPr>
          <w:rFonts w:ascii="Times New Roman" w:hAnsi="Times New Roman"/>
          <w:sz w:val="28"/>
          <w:szCs w:val="28"/>
          <w:lang w:val="uk-UA"/>
        </w:rPr>
        <w:softHyphen/>
        <w:t>го</w:t>
      </w:r>
      <w:r w:rsidRPr="00F41A90">
        <w:rPr>
          <w:rFonts w:ascii="Times New Roman" w:hAnsi="Times New Roman"/>
          <w:sz w:val="28"/>
          <w:szCs w:val="28"/>
          <w:lang w:val="uk-UA"/>
        </w:rPr>
        <w:softHyphen/>
        <w:t xml:space="preserve">лю,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сокогінної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їжі в умовах порушення відтоку.</w:t>
      </w:r>
    </w:p>
    <w:p w:rsidR="00D86F95" w:rsidRPr="00F41A90" w:rsidRDefault="00D86F95" w:rsidP="00D86F95">
      <w:pPr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>Інші причини: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>ендокринні захворювання;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>тривале лікування кортикостероїдами;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>порушення жирового обміну;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>вірусний гепатит, паротит;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>алергічний компонент (сенсибілізація чужорідним білком).</w:t>
      </w:r>
    </w:p>
    <w:p w:rsidR="00D86F95" w:rsidRPr="00F41A90" w:rsidRDefault="00D86F95" w:rsidP="00D86F95">
      <w:pPr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b/>
          <w:bCs/>
          <w:i/>
          <w:iCs/>
          <w:sz w:val="28"/>
          <w:szCs w:val="28"/>
          <w:u w:val="single"/>
          <w:lang w:val="uk-UA"/>
        </w:rPr>
        <w:t>Патогенез</w:t>
      </w:r>
      <w:r w:rsidRPr="00F41A90">
        <w:rPr>
          <w:rFonts w:ascii="Times New Roman" w:hAnsi="Times New Roman"/>
          <w:sz w:val="28"/>
          <w:szCs w:val="28"/>
          <w:u w:val="single"/>
          <w:lang w:val="uk-UA"/>
        </w:rPr>
        <w:t xml:space="preserve">. </w:t>
      </w:r>
      <w:r w:rsidRPr="00F41A90">
        <w:rPr>
          <w:rFonts w:ascii="Times New Roman" w:hAnsi="Times New Roman"/>
          <w:sz w:val="28"/>
          <w:szCs w:val="28"/>
          <w:lang w:val="uk-UA"/>
        </w:rPr>
        <w:t xml:space="preserve">Ферментативна теорія патогенезу (приймають участь наступні ферменти: трипсин,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хімотрипсин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еластаза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, ліпаза, фосфоліпаза). В умовах підвищення функції і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затрудненого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відтоку виникає ферментативне переварювання паренхіми залози (набряк і некроз). Цей процес розвивається за типом ланцюгової реакції: активація ферментів →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цитокіноза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→ активний трипсин → панкреатичний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калікреїн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→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кініноген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→ кінін →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брадікінін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(одночасно звільняються 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гістамін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та серотонін). Попадання цих речовин в кров активує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згортальну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систему крові. Спостерігаються виражені судинні зміни в підшлунковій залозі. Спочатку виникає спазм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мікроциркуляції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, потім розширення → порушення  проникності  і вихід ферментів в оточуючі тканини. В паренхімі залози розвивається некроз на ґрунті тромбоутворення (цей механізм  характерний для геморагічних форм). З зруйнованих клітин звільнюється ліпаза і фосфоліпаза, які спричиняють гідроліз ліпідів. Наступає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ензимна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інтоксикація внутрішніх органів (серця, легень, печінки) → некротичні зміни.</w:t>
      </w:r>
    </w:p>
    <w:p w:rsidR="00D86F95" w:rsidRPr="00F41A90" w:rsidRDefault="00D86F95" w:rsidP="00D86F95">
      <w:pPr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Патанатомічно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розрізняють гострий серозний набряк, геморагічно-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інтерстиціальний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набряк, некротичну стадію, гнійну стадію. Гострий набряк зазвичай підлягає зворотному розвитку чи переходить в деструктивні форми. Смерть наступає від ферментативного шоку. При геморагічно-некротичній формі  ураження залежать від зони ушкодження і тривалості захворювання. Розрізняють три групи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панкреонекрозу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>: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>дифузно-вогнищевий (1-2 см);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великовогнищевий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(2-3 см, 3-4 см);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субтотальний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(тотальний) некроз.</w:t>
      </w:r>
    </w:p>
    <w:p w:rsidR="00D86F95" w:rsidRPr="00F41A90" w:rsidRDefault="00D86F95" w:rsidP="00D86F95">
      <w:pPr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 xml:space="preserve">Наслідки: фіброз, секвестрація, кіста,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абсцедування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>, абсцес сальникової сумки.</w:t>
      </w:r>
    </w:p>
    <w:p w:rsidR="00D86F95" w:rsidRPr="00F41A90" w:rsidRDefault="00D86F95" w:rsidP="00D86F95">
      <w:pPr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b/>
          <w:bCs/>
          <w:i/>
          <w:iCs/>
          <w:sz w:val="28"/>
          <w:szCs w:val="28"/>
          <w:u w:val="single"/>
          <w:lang w:val="uk-UA"/>
        </w:rPr>
        <w:t>Клінічна картина</w:t>
      </w:r>
      <w:r w:rsidRPr="00F41A90">
        <w:rPr>
          <w:rFonts w:ascii="Times New Roman" w:hAnsi="Times New Roman"/>
          <w:sz w:val="28"/>
          <w:szCs w:val="28"/>
          <w:u w:val="single"/>
          <w:lang w:val="uk-UA"/>
        </w:rPr>
        <w:t>: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 xml:space="preserve">біль постійний,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оперізувальний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>, інтенсивний;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>нудота, блювання – нестерпне, яке не приносить полегшення;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>шкіра вкрита холодним потом, жовтяниця;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>ділянки ціанозу і крововиливи навколо пупка;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 xml:space="preserve">температура тіла спочатку нормальна, а з приєднанням запалення – </w:t>
      </w:r>
      <w:r w:rsidRPr="00F41A90">
        <w:rPr>
          <w:rFonts w:ascii="Times New Roman" w:hAnsi="Times New Roman"/>
          <w:sz w:val="28"/>
          <w:szCs w:val="28"/>
          <w:lang w:val="uk-UA"/>
        </w:rPr>
        <w:lastRenderedPageBreak/>
        <w:t xml:space="preserve">підвищується. Підвищення температури не має тенденції до зниження деструктивного панкреатиту. Більш пізнє підвищення – свідчить про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абсцедування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>;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>пульс – брадикардія, яка змінюється тахікардією;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>АТ знижується аж до колапсу.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>язик – сухий, з білим чи бурим нальотом;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 xml:space="preserve">живіт болючий, здутий (симптом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Боде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>), м'який;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>перистальтика не прослуховується;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>симптоми подразнення очеревини додатні;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 xml:space="preserve">ригідність передньої черевної стінки в області залози (симптом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Керте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>) 60 %;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 xml:space="preserve">симптом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Мейо-Робсона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– болючість в реберно-хребетному куті зліва або справа;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>симптом Воскресенського – зникнення пульсації аорти;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 xml:space="preserve">симптом Махова –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гіперестезія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вище пупка;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>добовий діурез зменшується.</w:t>
      </w:r>
    </w:p>
    <w:p w:rsidR="00D86F95" w:rsidRPr="00F41A90" w:rsidRDefault="00D86F95" w:rsidP="00D86F95">
      <w:pPr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 xml:space="preserve">Лабораторні обстеження: 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 xml:space="preserve">висока діастаза (амілаза) сечі і крові (реакція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Вольгемута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– в нормі 32 ОД в крові і 64 ОД в сечі).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>лейкоцитоз і зсув формули вліво;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 xml:space="preserve">при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панкреонекрозі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– амілаза сечі 0 ОД;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>білірубін підвищений;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>глюкоза крові підвищена;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 xml:space="preserve">ознаки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гіперкоагуляції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>;</w:t>
      </w:r>
    </w:p>
    <w:p w:rsidR="00D86F95" w:rsidRPr="00F41A90" w:rsidRDefault="00D86F95" w:rsidP="00D86F95">
      <w:pPr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Ренгенодіагностика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: 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 xml:space="preserve">високе стояння купола діафрагми зліва; 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 xml:space="preserve">зміщення підкови ДПК при контрастній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Rt-графії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шлунка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(непряма ознака набряку головки підшлункової залози); 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>комп'ютерна томографія підшлункової залози;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целіакографія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– неоднорідність тіні судин залози.</w:t>
      </w:r>
    </w:p>
    <w:p w:rsidR="00D86F95" w:rsidRPr="00F41A90" w:rsidRDefault="00D86F95" w:rsidP="00D86F95">
      <w:pPr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>УЗД – найбільш інформативне.</w:t>
      </w:r>
    </w:p>
    <w:p w:rsidR="00D86F95" w:rsidRPr="00F41A90" w:rsidRDefault="00D86F95" w:rsidP="00D86F95">
      <w:pPr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 xml:space="preserve">ЕГДФС – дозволяє виключити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пенетрацію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виразки ДПК в підшлункову залозу та виявити ряд непрямих ознак панкреатиту.</w:t>
      </w:r>
    </w:p>
    <w:p w:rsidR="00D86F95" w:rsidRPr="00F41A90" w:rsidRDefault="00D86F95" w:rsidP="00D86F95">
      <w:pPr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Лапароскопія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– є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діагностично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-лікувальним методом. Підтверджує діагноз характерний ексудат в черевній порожнині та жирові бляшки на очеревині. При потребі виконується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лапароскопічне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дренування сальникової сумки і черевної порожнини.</w:t>
      </w:r>
    </w:p>
    <w:p w:rsidR="00D86F95" w:rsidRPr="00F41A90" w:rsidRDefault="00D86F95" w:rsidP="00D86F95">
      <w:pPr>
        <w:pStyle w:val="2"/>
        <w:rPr>
          <w:rFonts w:ascii="Times New Roman" w:hAnsi="Times New Roman" w:cs="Times New Roman"/>
          <w:sz w:val="28"/>
        </w:rPr>
      </w:pPr>
      <w:r w:rsidRPr="00F41A90">
        <w:rPr>
          <w:rFonts w:ascii="Times New Roman" w:hAnsi="Times New Roman" w:cs="Times New Roman"/>
          <w:sz w:val="28"/>
        </w:rPr>
        <w:t>Ускладнення</w:t>
      </w:r>
    </w:p>
    <w:p w:rsidR="00D86F95" w:rsidRPr="00F41A90" w:rsidRDefault="00D86F95" w:rsidP="00D86F95">
      <w:pPr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>1. Місцеві: перитоніт; некроз підшлункової залози; кровотеча.</w:t>
      </w:r>
    </w:p>
    <w:p w:rsidR="00D86F95" w:rsidRPr="00F41A90" w:rsidRDefault="00D86F95" w:rsidP="00D86F95">
      <w:pPr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 xml:space="preserve">2. Загальні: інтоксикація;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печінково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-ниркова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дисфункція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>; розлади психіки; цукровий діабет; тромбози.</w:t>
      </w:r>
    </w:p>
    <w:p w:rsidR="00D86F95" w:rsidRPr="00F41A90" w:rsidRDefault="00D86F95" w:rsidP="00D86F95">
      <w:pPr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b/>
          <w:bCs/>
          <w:i/>
          <w:iCs/>
          <w:sz w:val="28"/>
          <w:szCs w:val="28"/>
          <w:u w:val="single"/>
          <w:lang w:val="uk-UA"/>
        </w:rPr>
        <w:t>Лікування</w:t>
      </w:r>
      <w:r w:rsidRPr="00F41A90">
        <w:rPr>
          <w:rFonts w:ascii="Times New Roman" w:hAnsi="Times New Roman"/>
          <w:sz w:val="28"/>
          <w:szCs w:val="28"/>
          <w:lang w:val="uk-UA"/>
        </w:rPr>
        <w:t xml:space="preserve">  повинно включати: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>госпіталізацію в хірургічне відділення;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lastRenderedPageBreak/>
        <w:t>створення функціонального спокою підшлункової залози (голод, холод, лужні розчини всередину);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 xml:space="preserve">гальмування ферментативної активності (атропін,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сандостатин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, 5-фторурацил,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даларгін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, 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ква</w:t>
      </w:r>
      <w:r w:rsidRPr="00F41A90">
        <w:rPr>
          <w:rFonts w:ascii="Times New Roman" w:hAnsi="Times New Roman"/>
          <w:sz w:val="28"/>
          <w:szCs w:val="28"/>
          <w:lang w:val="uk-UA"/>
        </w:rPr>
        <w:softHyphen/>
      </w:r>
      <w:r w:rsidRPr="00F41A90">
        <w:rPr>
          <w:rFonts w:ascii="Times New Roman" w:hAnsi="Times New Roman"/>
          <w:sz w:val="28"/>
          <w:szCs w:val="28"/>
          <w:lang w:val="uk-UA"/>
        </w:rPr>
        <w:softHyphen/>
        <w:t>м</w:t>
      </w:r>
      <w:r w:rsidRPr="00F41A90">
        <w:rPr>
          <w:rFonts w:ascii="Times New Roman" w:hAnsi="Times New Roman"/>
          <w:sz w:val="28"/>
          <w:szCs w:val="28"/>
          <w:lang w:val="uk-UA"/>
        </w:rPr>
        <w:softHyphen/>
        <w:t>ател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омез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контрикал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>);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>ліквідація жовчної і панкреатичної гіпертензії (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спазмолітики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аналгетики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гангліоблокатори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>, новокаїнові блокади, ЕПСТ);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інфузійна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терапія (сольові розчини,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гемодинамічні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і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детоксикаційні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кровозамінники);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 xml:space="preserve">при наявності конкрементів в жовчному міхурі – ЛХЕ, при наявності конкрементів з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холедоху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– ЕПСТ. </w:t>
      </w:r>
    </w:p>
    <w:p w:rsidR="00D86F95" w:rsidRPr="00F41A90" w:rsidRDefault="00D86F95" w:rsidP="00D86F95">
      <w:pPr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>При наявності клінічних ознак деструктивного панкреатиту поряд з вищенаведеним проводять :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 xml:space="preserve">блокада ферментативної активності в залозі і в крові (великі дози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контрикалу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або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сандостатину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>);</w:t>
      </w:r>
    </w:p>
    <w:p w:rsidR="00D86F95" w:rsidRPr="00F41A90" w:rsidRDefault="00D86F95" w:rsidP="00D86F95">
      <w:pPr>
        <w:numPr>
          <w:ilvl w:val="0"/>
          <w:numId w:val="1"/>
        </w:numPr>
        <w:spacing w:before="0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детоксикаційна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терапія </w:t>
      </w:r>
    </w:p>
    <w:p w:rsidR="00D86F95" w:rsidRPr="00F41A90" w:rsidRDefault="00D86F95" w:rsidP="00D86F95">
      <w:pPr>
        <w:spacing w:before="0"/>
        <w:ind w:left="1134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 xml:space="preserve">Форсований діурез –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довенно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проводять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інфузії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5-10 % р-ну глюкози, сольових розчинів,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реополіглюкіну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рефортану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стабізолу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та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ін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в кількості 5000-6000 мл в добу. Після кожних 2000 мл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інфузії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вводять сечогінні (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лазикс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>, манітол). Добовий діурез повинен складати 3500-4500 мл. Проводять 3-4 доби.</w:t>
      </w:r>
    </w:p>
    <w:p w:rsidR="00D86F95" w:rsidRPr="00F41A90" w:rsidRDefault="00D86F95" w:rsidP="00D86F95">
      <w:pPr>
        <w:spacing w:before="0"/>
        <w:ind w:left="1134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>Перитонеальний діаліз (2-4 доби) при наявності геморагічного випоту в черевній порожнині.</w:t>
      </w:r>
    </w:p>
    <w:p w:rsidR="00D86F95" w:rsidRPr="00F41A90" w:rsidRDefault="00D86F95" w:rsidP="00D86F95">
      <w:pPr>
        <w:numPr>
          <w:ilvl w:val="0"/>
          <w:numId w:val="2"/>
        </w:numPr>
        <w:spacing w:before="0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>корекція електролітно-водного балансу;</w:t>
      </w:r>
    </w:p>
    <w:p w:rsidR="00D86F95" w:rsidRPr="00F41A90" w:rsidRDefault="00D86F95" w:rsidP="00D86F95">
      <w:pPr>
        <w:numPr>
          <w:ilvl w:val="0"/>
          <w:numId w:val="2"/>
        </w:numPr>
        <w:spacing w:before="0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антибіотикотерапія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(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пеніціліни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цефалоспорини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фторхінолони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>).</w:t>
      </w:r>
    </w:p>
    <w:p w:rsidR="00D86F95" w:rsidRPr="00F41A90" w:rsidRDefault="00D86F95" w:rsidP="00D86F95">
      <w:pPr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Екстренні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операції виконують в перші доби захворювання. Показами до них є перитоніт,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холедохолітіаз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холецистопанкреатит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, обтурація великого дуоденального соска. Об’єм операції визначається причиною панкреатиту, характером випоту, станом тканини підшлункової залози. Обов’язковим є видалення випоту, дренування чепцевої сумки і черевної порожнини. За показами проводять резекцію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некротизованої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частини підшлункової залози.    </w:t>
      </w:r>
    </w:p>
    <w:p w:rsidR="00D86F95" w:rsidRPr="00F41A90" w:rsidRDefault="00D86F95" w:rsidP="00D86F95">
      <w:pPr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F41A90">
        <w:rPr>
          <w:rFonts w:ascii="Times New Roman" w:hAnsi="Times New Roman"/>
          <w:b/>
          <w:bCs/>
          <w:sz w:val="28"/>
          <w:szCs w:val="28"/>
          <w:lang w:val="uk-UA"/>
        </w:rPr>
        <w:t>Холецистопанкреатит</w:t>
      </w:r>
      <w:proofErr w:type="spellEnd"/>
      <w:r w:rsidRPr="00F41A90">
        <w:rPr>
          <w:rFonts w:ascii="Times New Roman" w:hAnsi="Times New Roman"/>
          <w:b/>
          <w:bCs/>
          <w:sz w:val="28"/>
          <w:szCs w:val="28"/>
          <w:lang w:val="uk-UA"/>
        </w:rPr>
        <w:t xml:space="preserve"> (</w:t>
      </w:r>
      <w:proofErr w:type="spellStart"/>
      <w:r w:rsidRPr="00F41A90">
        <w:rPr>
          <w:rFonts w:ascii="Times New Roman" w:hAnsi="Times New Roman"/>
          <w:b/>
          <w:bCs/>
          <w:sz w:val="28"/>
          <w:szCs w:val="28"/>
          <w:lang w:val="uk-UA"/>
        </w:rPr>
        <w:t>біліарний</w:t>
      </w:r>
      <w:proofErr w:type="spellEnd"/>
      <w:r w:rsidRPr="00F41A90">
        <w:rPr>
          <w:rFonts w:ascii="Times New Roman" w:hAnsi="Times New Roman"/>
          <w:b/>
          <w:bCs/>
          <w:sz w:val="28"/>
          <w:szCs w:val="28"/>
          <w:lang w:val="uk-UA"/>
        </w:rPr>
        <w:t xml:space="preserve"> панкреатит)</w:t>
      </w:r>
      <w:r w:rsidRPr="00F41A90">
        <w:rPr>
          <w:rFonts w:ascii="Times New Roman" w:hAnsi="Times New Roman"/>
          <w:sz w:val="28"/>
          <w:szCs w:val="28"/>
          <w:lang w:val="uk-UA"/>
        </w:rPr>
        <w:t xml:space="preserve"> зустрічається у 15-30 % хворих з захворюваннями жовчних шляхів. Існує три точки зору на механізм виникнення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біліарного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панкреатиту:</w:t>
      </w:r>
    </w:p>
    <w:p w:rsidR="00D86F95" w:rsidRPr="00F41A90" w:rsidRDefault="00D86F95" w:rsidP="00D86F95">
      <w:pPr>
        <w:numPr>
          <w:ilvl w:val="0"/>
          <w:numId w:val="4"/>
        </w:numPr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 xml:space="preserve">затікання інфікованої жовчі з загальної жовчної протоки в протік підшлункової залози, внаслідок обтурації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каменем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фатерового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соска, набряку або стенозу останнього;</w:t>
      </w:r>
    </w:p>
    <w:p w:rsidR="00D86F95" w:rsidRPr="00F41A90" w:rsidRDefault="00D86F95" w:rsidP="00D86F95">
      <w:pPr>
        <w:numPr>
          <w:ilvl w:val="0"/>
          <w:numId w:val="4"/>
        </w:numPr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>порушення кровообігу в підшлунковій залозі;</w:t>
      </w:r>
    </w:p>
    <w:p w:rsidR="00D86F95" w:rsidRPr="00F41A90" w:rsidRDefault="00D86F95" w:rsidP="00D86F95">
      <w:pPr>
        <w:numPr>
          <w:ilvl w:val="0"/>
          <w:numId w:val="4"/>
        </w:numPr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>інфікування підшлункової залози через кровоносні лімфатичні судини.</w:t>
      </w:r>
    </w:p>
    <w:p w:rsidR="00D86F95" w:rsidRPr="00F41A90" w:rsidRDefault="00D86F95" w:rsidP="00D86F95">
      <w:pPr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 xml:space="preserve">За клінічним перебігом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холецистопанкреатит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може бути гострим і хронічним. Його клінічна картина залежить від симптомів ураження жовчного міхура, жовчних протоків і симптомів запалення підшлункової залози. При цьому симптоми панкреатиту і надають своєрідність даній формі захворювання. Біль локалізується в правому підребер'ї і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епігастрії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, часто іррадіює в спину і є </w:t>
      </w:r>
      <w:r w:rsidRPr="00F41A90">
        <w:rPr>
          <w:rFonts w:ascii="Times New Roman" w:hAnsi="Times New Roman"/>
          <w:sz w:val="28"/>
          <w:szCs w:val="28"/>
          <w:lang w:val="uk-UA"/>
        </w:rPr>
        <w:lastRenderedPageBreak/>
        <w:t xml:space="preserve">оперізуючим. Часто спостерігається лівобічний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френікус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-симптом. Тривале багаторазове блювання виснажує хворих. Деколи відмічається жовтяниця шкіри і склер. Температура тіла підвищується. У тяжких випадках відмічається колапс. Спостерігається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акроціаноз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, мармурове забарвлення живота, частий пульс, зниження артеріального тиску. При пальпації живота – болючість в ділянці правого підребер'я і в проекції підшлункової залози. Часто вдається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пропальпувати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збільшений і напружений болючий жовчний міхур або запальний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коломіхуровий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інфільтрат. Якщо в процес втягнений хвіст підшлункової залози відмічається позитивний симптом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Мейо-Робсона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. Лікування: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лапароскопічна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холецистектомія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, доповнена ЕПСТ.  </w:t>
      </w:r>
    </w:p>
    <w:p w:rsidR="00D86F95" w:rsidRPr="00F41A90" w:rsidRDefault="00D86F95" w:rsidP="00D86F95">
      <w:pPr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b/>
          <w:bCs/>
          <w:i/>
          <w:iCs/>
          <w:sz w:val="28"/>
          <w:szCs w:val="28"/>
          <w:u w:val="single"/>
          <w:lang w:val="uk-UA"/>
        </w:rPr>
        <w:t>Хронічний панкреатит.</w:t>
      </w:r>
      <w:r w:rsidRPr="00F41A90">
        <w:rPr>
          <w:rFonts w:ascii="Times New Roman" w:hAnsi="Times New Roman"/>
          <w:sz w:val="28"/>
          <w:szCs w:val="28"/>
          <w:lang w:val="uk-UA"/>
        </w:rPr>
        <w:t xml:space="preserve"> На першому місці є хронічний первинний панкреатит. Вторинний хронічний панкреатит є наслідком захворювань шлунково-кишкового тракту: хронічного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калькульозного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холециститу, виразки шлунку чи ДПК. Причини розвитку вторинного хронічного панкреатиту: перехід гострого панкреатиту в хронічний (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рецидивуючий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панкреатит) – найчастіше у алкоголіків (75 %);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пенентрація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виразки шлунку чи ДПК; хронічні порушення кровообігу в підшлунковій залозі;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аутоімунні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процеси; екзогенні інтоксикації; операції;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дуоденостаз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. В 15 % випадків причину розвитку хронічного панкреатиту не вдається встановити. </w:t>
      </w:r>
    </w:p>
    <w:p w:rsidR="00D86F95" w:rsidRPr="00F41A90" w:rsidRDefault="00D86F95" w:rsidP="00D86F95">
      <w:pPr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>Клінічна картина:</w:t>
      </w:r>
    </w:p>
    <w:p w:rsidR="00D86F95" w:rsidRPr="00F41A90" w:rsidRDefault="00D86F95" w:rsidP="00D86F95">
      <w:pPr>
        <w:numPr>
          <w:ilvl w:val="0"/>
          <w:numId w:val="3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 xml:space="preserve">біль в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епігастрії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, який іррадіює в лопатку, серце, спину, ліву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здухіинну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ділянку;</w:t>
      </w:r>
    </w:p>
    <w:p w:rsidR="00D86F95" w:rsidRPr="00F41A90" w:rsidRDefault="00D86F95" w:rsidP="00D86F95">
      <w:pPr>
        <w:numPr>
          <w:ilvl w:val="0"/>
          <w:numId w:val="3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диспептичні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явища (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панкреатогенні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проноси) при загостренні;</w:t>
      </w:r>
    </w:p>
    <w:p w:rsidR="00D86F95" w:rsidRPr="00F41A90" w:rsidRDefault="00D86F95" w:rsidP="00D86F95">
      <w:pPr>
        <w:numPr>
          <w:ilvl w:val="0"/>
          <w:numId w:val="3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>схуднення;</w:t>
      </w:r>
    </w:p>
    <w:p w:rsidR="00D86F95" w:rsidRPr="00F41A90" w:rsidRDefault="00D86F95" w:rsidP="00D86F95">
      <w:pPr>
        <w:numPr>
          <w:ilvl w:val="0"/>
          <w:numId w:val="3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гіпопротеїнемія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>;</w:t>
      </w:r>
    </w:p>
    <w:p w:rsidR="00D86F95" w:rsidRPr="00F41A90" w:rsidRDefault="00D86F95" w:rsidP="00D86F95">
      <w:pPr>
        <w:numPr>
          <w:ilvl w:val="0"/>
          <w:numId w:val="3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>явища ЦД;</w:t>
      </w:r>
    </w:p>
    <w:p w:rsidR="00D86F95" w:rsidRPr="00F41A90" w:rsidRDefault="00D86F95" w:rsidP="00D86F95">
      <w:pPr>
        <w:numPr>
          <w:ilvl w:val="0"/>
          <w:numId w:val="3"/>
        </w:numPr>
        <w:spacing w:before="0"/>
        <w:ind w:left="714" w:hanging="357"/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>жовтяниця шкіри і склер.</w:t>
      </w:r>
    </w:p>
    <w:p w:rsidR="00D86F95" w:rsidRPr="00F41A90" w:rsidRDefault="00D86F95" w:rsidP="00D86F95">
      <w:pPr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 xml:space="preserve">Ускладнення хронічного панкреатиту: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звапнення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паренхіми залози, ЦД, тромбоз селезінкової вени, стеноз і обтурація протоки підшлункової залози, кісти підшлункової залози, стеноз великого дуоденального соска, рак підшлункової залози.</w:t>
      </w:r>
    </w:p>
    <w:p w:rsidR="00D86F95" w:rsidRPr="00F41A90" w:rsidRDefault="00D86F95" w:rsidP="00D86F95">
      <w:pPr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b/>
          <w:bCs/>
          <w:i/>
          <w:iCs/>
          <w:sz w:val="28"/>
          <w:szCs w:val="28"/>
          <w:u w:val="single"/>
          <w:lang w:val="uk-UA"/>
        </w:rPr>
        <w:t>Непрохідність головного протоку підшлункової залози</w:t>
      </w:r>
      <w:r w:rsidRPr="00F41A90">
        <w:rPr>
          <w:rFonts w:ascii="Times New Roman" w:hAnsi="Times New Roman"/>
          <w:sz w:val="28"/>
          <w:szCs w:val="28"/>
          <w:u w:val="single"/>
          <w:lang w:val="uk-UA"/>
        </w:rPr>
        <w:t>.</w:t>
      </w:r>
      <w:r w:rsidRPr="00F41A90">
        <w:rPr>
          <w:rFonts w:ascii="Times New Roman" w:hAnsi="Times New Roman"/>
          <w:sz w:val="28"/>
          <w:szCs w:val="28"/>
          <w:lang w:val="uk-UA"/>
        </w:rPr>
        <w:t xml:space="preserve"> Розрізняють непрохідність на трьох рівнях: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інтрапанкреатичну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, на рівні великого дуоденального соска та дуоденальну. </w:t>
      </w:r>
    </w:p>
    <w:p w:rsidR="00D86F95" w:rsidRPr="00F41A90" w:rsidRDefault="00D86F95" w:rsidP="00D86F95">
      <w:pPr>
        <w:rPr>
          <w:rFonts w:ascii="Times New Roman" w:hAnsi="Times New Roman"/>
          <w:sz w:val="28"/>
          <w:szCs w:val="28"/>
          <w:lang w:val="uk-UA"/>
        </w:rPr>
      </w:pP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Інтрапанкреатична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буває повною (закриття каменем чи стеноз (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індуративний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панкреатит)) та частковою. Виникає застій панкреатичного соку, руйнування стінок протоків та їх грубі деформації.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Рецидивуючий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панкреатит в 7,5 % є наслідком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панкреолітіазу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. В чоловіків конкременти зустрічаються в  3-4 рази частіше, ніж у жінок. Часто причиною непрохідності є операції, які викликають стеноз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протонки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(резекція шлунку, маніпуляції в ділянці головки підшлункової залози і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холедоха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), травми підшлункової залози, злоякісні пухлини,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індуративний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псевдотуморозний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панкреатит.</w:t>
      </w:r>
    </w:p>
    <w:p w:rsidR="00D86F95" w:rsidRPr="00F41A90" w:rsidRDefault="00D86F95" w:rsidP="00D86F95">
      <w:pPr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 xml:space="preserve">Причинами стенозу великого дуоденального соска є жовчні і панкреатичні </w:t>
      </w:r>
      <w:r w:rsidRPr="00F41A90">
        <w:rPr>
          <w:rFonts w:ascii="Times New Roman" w:hAnsi="Times New Roman"/>
          <w:sz w:val="28"/>
          <w:szCs w:val="28"/>
          <w:lang w:val="uk-UA"/>
        </w:rPr>
        <w:lastRenderedPageBreak/>
        <w:t xml:space="preserve">конкременти, пухлини,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стенозуючий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гіпертофічний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папіліт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, кишкові паразити, дуоденальна гіпертензія. Всі ці фактори призводять до гіпертензії в панкреатичній протоці. Якщо гіпертензія розвивається поступово, то гострого панкреатиту не виникає і створюється помилкове враження, що хронічний панкреатит є первинним.   </w:t>
      </w:r>
    </w:p>
    <w:p w:rsidR="00D86F95" w:rsidRPr="00F41A90" w:rsidRDefault="00D86F95" w:rsidP="00D86F95">
      <w:pPr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 xml:space="preserve">В клінічній картині переважає біль у лівому підребер'ї з іррадіацією в лопатку, серце, плече,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гіпер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- або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гіпоферментемія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гіпербілірубінемія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гіпер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- або гіпоглікемія. Захворювання закінчується фіброзом і склерозом залози. </w:t>
      </w:r>
    </w:p>
    <w:p w:rsidR="00D86F95" w:rsidRPr="00F41A90" w:rsidRDefault="00D86F95" w:rsidP="00D86F95">
      <w:pPr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b/>
          <w:bCs/>
          <w:i/>
          <w:iCs/>
          <w:sz w:val="28"/>
          <w:szCs w:val="28"/>
          <w:u w:val="single"/>
          <w:lang w:val="uk-UA"/>
        </w:rPr>
        <w:t>Кісти підшлункової залози</w:t>
      </w:r>
      <w:r w:rsidRPr="00F41A90">
        <w:rPr>
          <w:rFonts w:ascii="Times New Roman" w:hAnsi="Times New Roman"/>
          <w:sz w:val="28"/>
          <w:szCs w:val="28"/>
          <w:lang w:val="uk-UA"/>
        </w:rPr>
        <w:t xml:space="preserve"> зустрічаються порівняно рідко. Вони розвиваються приблизно у 7 % хворих, які перенесли гострий панкреатит. Якщо кіста локалізується в голівці, то виникає клініка стиснення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холедоха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і панкреатичного протоку. Якщо в хвості – стиснення сусідніх органів (шлунку). При нагноєнні кісти – лікування нагноєнь. Часто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киста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може перфорувати в шлунок,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холедох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>, ДПК, товсту кишку, черевну порожнину.</w:t>
      </w:r>
    </w:p>
    <w:p w:rsidR="00D86F95" w:rsidRPr="00F41A90" w:rsidRDefault="00D86F95" w:rsidP="00D86F95">
      <w:pPr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 xml:space="preserve">Для уточнення діагнозу використовують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целіакографію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лапароскопію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, КТГ, рентгенографію шлунку І ДПК, УЗД, ЕРПХГ, ЕГДФС. </w:t>
      </w:r>
    </w:p>
    <w:p w:rsidR="00D86F95" w:rsidRPr="00F41A90" w:rsidRDefault="00D86F95" w:rsidP="00D86F95">
      <w:pPr>
        <w:rPr>
          <w:rFonts w:ascii="Times New Roman" w:hAnsi="Times New Roman"/>
          <w:sz w:val="28"/>
          <w:szCs w:val="28"/>
          <w:lang w:val="uk-UA"/>
        </w:rPr>
      </w:pPr>
      <w:r w:rsidRPr="00F41A90">
        <w:rPr>
          <w:rFonts w:ascii="Times New Roman" w:hAnsi="Times New Roman"/>
          <w:sz w:val="28"/>
          <w:szCs w:val="28"/>
          <w:lang w:val="uk-UA"/>
        </w:rPr>
        <w:t xml:space="preserve">Лікування: дренування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нагноєнь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кісти,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кістоєюностомія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, повздовжня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панкреатоеюностомія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, ЕПСТ,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холедоходуоденостомія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, резекція хвоста підшлункової залози, </w:t>
      </w:r>
      <w:proofErr w:type="spellStart"/>
      <w:r w:rsidRPr="00F41A90">
        <w:rPr>
          <w:rFonts w:ascii="Times New Roman" w:hAnsi="Times New Roman"/>
          <w:sz w:val="28"/>
          <w:szCs w:val="28"/>
          <w:lang w:val="uk-UA"/>
        </w:rPr>
        <w:t>панкреатодуоденальна</w:t>
      </w:r>
      <w:proofErr w:type="spellEnd"/>
      <w:r w:rsidRPr="00F41A90">
        <w:rPr>
          <w:rFonts w:ascii="Times New Roman" w:hAnsi="Times New Roman"/>
          <w:sz w:val="28"/>
          <w:szCs w:val="28"/>
          <w:lang w:val="uk-UA"/>
        </w:rPr>
        <w:t xml:space="preserve"> резекція.</w:t>
      </w:r>
    </w:p>
    <w:p w:rsidR="00A36529" w:rsidRPr="00F41A90" w:rsidRDefault="00A36529">
      <w:pPr>
        <w:rPr>
          <w:rFonts w:ascii="Times New Roman" w:hAnsi="Times New Roman"/>
          <w:sz w:val="28"/>
          <w:szCs w:val="28"/>
          <w:lang w:val="uk-UA"/>
        </w:rPr>
      </w:pPr>
    </w:p>
    <w:sectPr w:rsidR="00A36529" w:rsidRPr="00F41A90" w:rsidSect="00F41A90">
      <w:pgSz w:w="11906" w:h="16838"/>
      <w:pgMar w:top="851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800AE7"/>
    <w:multiLevelType w:val="hybridMultilevel"/>
    <w:tmpl w:val="D80E0B6E"/>
    <w:lvl w:ilvl="0" w:tplc="6B9220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58085E"/>
    <w:multiLevelType w:val="hybridMultilevel"/>
    <w:tmpl w:val="7B8896A4"/>
    <w:lvl w:ilvl="0" w:tplc="6B9220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7B23D6"/>
    <w:multiLevelType w:val="hybridMultilevel"/>
    <w:tmpl w:val="27542190"/>
    <w:lvl w:ilvl="0" w:tplc="6B9220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C6F0CA4"/>
    <w:multiLevelType w:val="hybridMultilevel"/>
    <w:tmpl w:val="1F3EDAB0"/>
    <w:lvl w:ilvl="0" w:tplc="6B92205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6F95"/>
    <w:rsid w:val="001723A1"/>
    <w:rsid w:val="005B361F"/>
    <w:rsid w:val="00656942"/>
    <w:rsid w:val="008F0BDC"/>
    <w:rsid w:val="009E1B8C"/>
    <w:rsid w:val="00A36529"/>
    <w:rsid w:val="00C848D1"/>
    <w:rsid w:val="00D86F95"/>
    <w:rsid w:val="00F41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5382F4"/>
  <w15:docId w15:val="{A9B61A30-ACF3-4256-9904-42A0A1D4B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86F95"/>
    <w:pPr>
      <w:widowControl w:val="0"/>
      <w:spacing w:before="120" w:after="0" w:line="240" w:lineRule="auto"/>
      <w:jc w:val="both"/>
    </w:pPr>
    <w:rPr>
      <w:rFonts w:ascii="Arial" w:eastAsia="Times New Roman" w:hAnsi="Arial" w:cs="Times New Roman"/>
      <w:sz w:val="20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86F95"/>
    <w:pPr>
      <w:keepNext/>
      <w:pageBreakBefore/>
      <w:spacing w:before="600" w:after="240"/>
      <w:jc w:val="left"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D86F95"/>
    <w:pPr>
      <w:keepNext/>
      <w:outlineLvl w:val="1"/>
    </w:pPr>
    <w:rPr>
      <w:rFonts w:cs="Arial"/>
      <w:b/>
      <w:bCs/>
      <w:i/>
      <w:iCs/>
      <w:szCs w:val="28"/>
      <w:u w:val="single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86F95"/>
    <w:rPr>
      <w:rFonts w:ascii="Arial" w:eastAsia="Times New Roman" w:hAnsi="Arial" w:cs="Arial"/>
      <w:b/>
      <w:bCs/>
      <w:kern w:val="32"/>
      <w:sz w:val="24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D86F95"/>
    <w:rPr>
      <w:rFonts w:ascii="Arial" w:eastAsia="Times New Roman" w:hAnsi="Arial" w:cs="Arial"/>
      <w:b/>
      <w:bCs/>
      <w:i/>
      <w:iCs/>
      <w:sz w:val="20"/>
      <w:szCs w:val="28"/>
      <w:u w:val="single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1921</Words>
  <Characters>10954</Characters>
  <Application>Microsoft Office Word</Application>
  <DocSecurity>0</DocSecurity>
  <Lines>91</Lines>
  <Paragraphs>25</Paragraphs>
  <ScaleCrop>false</ScaleCrop>
  <Company>Grizli777</Company>
  <LinksUpToDate>false</LinksUpToDate>
  <CharactersWithSpaces>12850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Олег</dc:creator>
  <cp:lastModifiedBy>jon malkovich</cp:lastModifiedBy>
  <cp:revision>4</cp:revision>
  <cp:lastPrinted>2013-01-16T08:19:00Z</cp:lastPrinted>
  <dcterms:created xsi:type="dcterms:W3CDTF">2013-01-15T16:40:00Z</dcterms:created>
  <dcterms:modified xsi:type="dcterms:W3CDTF">2023-11-28T20:56:00Z</dcterms:modified>
</cp:coreProperties>
</file>